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05" w:rsidRDefault="005A1D33">
      <w:pPr>
        <w:rPr>
          <w:rFonts w:eastAsia="Times New Roman" w:cstheme="minorHAnsi"/>
          <w:b/>
          <w:sz w:val="24"/>
          <w:szCs w:val="24"/>
          <w:u w:val="single"/>
          <w:lang w:val="en-US"/>
        </w:rPr>
      </w:pPr>
      <w:r w:rsidRPr="005A1D33">
        <w:rPr>
          <w:rFonts w:eastAsia="Times New Roman" w:cstheme="minorHAnsi"/>
          <w:b/>
          <w:sz w:val="24"/>
          <w:szCs w:val="24"/>
          <w:u w:val="single"/>
          <w:lang w:val="en-US"/>
        </w:rPr>
        <w:t>APPENDIX 9</w:t>
      </w:r>
      <w:r w:rsidRPr="005A1D33">
        <w:rPr>
          <w:rFonts w:eastAsia="Times New Roman" w:cstheme="minorHAnsi"/>
          <w:b/>
          <w:sz w:val="24"/>
          <w:szCs w:val="24"/>
          <w:u w:val="single"/>
          <w:lang w:val="en-US"/>
        </w:rPr>
        <w:t xml:space="preserve"> Abbreviations and Glossary. </w:t>
      </w:r>
    </w:p>
    <w:p w:rsidR="005A1D33" w:rsidRPr="005A1D33" w:rsidRDefault="005A1D33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3"/>
        <w:gridCol w:w="4923"/>
      </w:tblGrid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ADTC</w:t>
            </w:r>
          </w:p>
        </w:tc>
        <w:tc>
          <w:tcPr>
            <w:tcW w:w="5631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ADTC Area Drug and Therapeutics Committee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BP</w:t>
            </w:r>
          </w:p>
        </w:tc>
        <w:tc>
          <w:tcPr>
            <w:tcW w:w="5631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British Pharmacopoeia</w:t>
            </w:r>
            <w:r w:rsidRPr="00BA7C58">
              <w:t xml:space="preserve">. </w:t>
            </w:r>
            <w:r w:rsidRPr="00BA7C58">
              <w:rPr>
                <w:lang w:val="en-US"/>
              </w:rPr>
              <w:t xml:space="preserve">This is the national pharmacopoeia of the United Kingdom. It is an annually published collection of quality standards for medicinal substances in the UK, which is used by individuals and </w:t>
            </w:r>
            <w:proofErr w:type="spellStart"/>
            <w:r w:rsidRPr="00BA7C58">
              <w:rPr>
                <w:lang w:val="en-US"/>
              </w:rPr>
              <w:t>organisations</w:t>
            </w:r>
            <w:proofErr w:type="spellEnd"/>
            <w:r w:rsidRPr="00BA7C58">
              <w:rPr>
                <w:lang w:val="en-US"/>
              </w:rPr>
              <w:t xml:space="preserve"> involved in pharmaceutical research, development, manufacture and testing.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EP</w:t>
            </w:r>
          </w:p>
        </w:tc>
        <w:tc>
          <w:tcPr>
            <w:tcW w:w="5631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European Pharmacopoeia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USP</w:t>
            </w:r>
          </w:p>
        </w:tc>
        <w:tc>
          <w:tcPr>
            <w:tcW w:w="5631" w:type="dxa"/>
          </w:tcPr>
          <w:p w:rsidR="005A1D33" w:rsidRPr="00BA7C58" w:rsidRDefault="005A1D33" w:rsidP="004C2762">
            <w:pPr>
              <w:rPr>
                <w:lang w:val="en-US"/>
              </w:rPr>
            </w:pPr>
            <w:r w:rsidRPr="00BA7C58">
              <w:rPr>
                <w:lang w:val="en-US"/>
              </w:rPr>
              <w:t>United States Pharmacopoeia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r w:rsidRPr="00BA7C58">
              <w:t xml:space="preserve">C of A 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Certificate of Analysis – issued by supplier of unlicensed medicine to customer giving details of analytical testing which has been carried out on the unlicensed medicine and the results of this testing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r w:rsidRPr="00BA7C58">
              <w:t xml:space="preserve">C of C 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Certificate of Conformity – issued by supplier of unlicensed medicine to customer stating compliance to testing but with no individual result</w:t>
            </w:r>
          </w:p>
        </w:tc>
      </w:tr>
      <w:tr w:rsidR="003C6E84" w:rsidRPr="00BA7C58" w:rsidTr="004C2762">
        <w:tc>
          <w:tcPr>
            <w:tcW w:w="4825" w:type="dxa"/>
          </w:tcPr>
          <w:p w:rsidR="003C6E84" w:rsidRPr="00BA7C58" w:rsidRDefault="003C6E84" w:rsidP="004C2762">
            <w:r>
              <w:t>Novel Drug</w:t>
            </w:r>
          </w:p>
        </w:tc>
        <w:tc>
          <w:tcPr>
            <w:tcW w:w="5631" w:type="dxa"/>
          </w:tcPr>
          <w:p w:rsidR="003C6E84" w:rsidRPr="00BA7C58" w:rsidRDefault="003C6E84" w:rsidP="004C2762">
            <w:r>
              <w:t>Drug never before approved</w:t>
            </w:r>
            <w:bookmarkStart w:id="0" w:name="_GoBack"/>
            <w:bookmarkEnd w:id="0"/>
            <w:r>
              <w:t xml:space="preserve"> or marketed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r w:rsidRPr="00BA7C58">
              <w:t>Off-Label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use of medicines outside the terms of the licence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r w:rsidRPr="00BA7C58">
              <w:t xml:space="preserve">PIL 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patient information leaflet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proofErr w:type="spellStart"/>
            <w:r w:rsidRPr="00BA7C58">
              <w:t>rINN</w:t>
            </w:r>
            <w:proofErr w:type="spellEnd"/>
            <w:r w:rsidRPr="00BA7C58">
              <w:t xml:space="preserve"> 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recommended International Non-Proprietary Name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r w:rsidRPr="00BA7C58">
              <w:t xml:space="preserve">SPC 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summary of product characteristics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r w:rsidRPr="00BA7C58">
              <w:t>TSE</w:t>
            </w:r>
          </w:p>
        </w:tc>
        <w:tc>
          <w:tcPr>
            <w:tcW w:w="5631" w:type="dxa"/>
          </w:tcPr>
          <w:p w:rsidR="005A1D33" w:rsidRPr="00BA7C58" w:rsidRDefault="005A1D33" w:rsidP="004C2762">
            <w:r w:rsidRPr="00BA7C58">
              <w:t>transmissible spongiform encephalitis (link)</w:t>
            </w:r>
          </w:p>
        </w:tc>
      </w:tr>
      <w:tr w:rsidR="005A1D33" w:rsidRPr="00BA7C58" w:rsidTr="004C2762">
        <w:tc>
          <w:tcPr>
            <w:tcW w:w="4825" w:type="dxa"/>
          </w:tcPr>
          <w:p w:rsidR="005A1D33" w:rsidRPr="00BA7C58" w:rsidRDefault="005A1D33" w:rsidP="004C2762">
            <w:pPr>
              <w:pStyle w:val="xmsonormal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A7C58">
              <w:rPr>
                <w:rFonts w:asciiTheme="minorHAnsi" w:hAnsiTheme="minorHAnsi" w:cstheme="minorHAnsi"/>
                <w:bCs/>
                <w:sz w:val="22"/>
                <w:szCs w:val="22"/>
              </w:rPr>
              <w:t>ULM</w:t>
            </w:r>
            <w:r w:rsidRPr="00BA7C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31" w:type="dxa"/>
          </w:tcPr>
          <w:p w:rsidR="005A1D33" w:rsidRPr="00BA7C58" w:rsidRDefault="005A1D33" w:rsidP="004C2762">
            <w:pPr>
              <w:pStyle w:val="x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BA7C58">
              <w:rPr>
                <w:rFonts w:asciiTheme="minorHAnsi" w:hAnsiTheme="minorHAnsi" w:cstheme="minorHAnsi"/>
                <w:sz w:val="22"/>
                <w:szCs w:val="22"/>
              </w:rPr>
              <w:t>unlicensed medicine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-medicine that does not hold a UK Marketing authorisation</w:t>
            </w:r>
          </w:p>
        </w:tc>
      </w:tr>
    </w:tbl>
    <w:p w:rsidR="005A1D33" w:rsidRDefault="005A1D33"/>
    <w:sectPr w:rsidR="005A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33"/>
    <w:rsid w:val="003C6E84"/>
    <w:rsid w:val="003E1EA5"/>
    <w:rsid w:val="005A1D33"/>
    <w:rsid w:val="005F6905"/>
    <w:rsid w:val="00C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5271"/>
  <w15:chartTrackingRefBased/>
  <w15:docId w15:val="{3A27F8EB-DB9B-45BE-A79D-2BE05AB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3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5A1D3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A1D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Gemmell (NHS Lanarkshire)</dc:creator>
  <cp:keywords/>
  <dc:description/>
  <cp:lastModifiedBy>Victoria Gemmell (NHS Lanarkshire)</cp:lastModifiedBy>
  <cp:revision>2</cp:revision>
  <dcterms:created xsi:type="dcterms:W3CDTF">2025-07-09T11:06:00Z</dcterms:created>
  <dcterms:modified xsi:type="dcterms:W3CDTF">2025-07-09T11:19:00Z</dcterms:modified>
</cp:coreProperties>
</file>